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Памятка «Психологическое сопровождение ЕГЭ»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для учителей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научиться психологически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Регулярно обменивайтесь позитивным опытом с коллегами по подготовке Ваших учащихся к ЕГЭ;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Проявляйте интерес по поводу того, что именно волнует учащихся при подготовке к ЕГЭ. Старайтесь отвечать на эти вопросы;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Поддерживайте самооценку учащихся, отмечая каждое удачно выполненное задание;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Учите детей правильно распределять свое время в процессе подготовки к ЕГЭ, ориентируясь на индивидуальные особенности самого ребенка;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Посоветуйте учащимся и их родителям, какими дополнительными источниками целесообразнее пользоваться с целью успешной сдачи ЕГЭ;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1440" w:hanging="359"/>
        <w:contextualSpacing w:val="1"/>
        <w:jc w:val="both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Уделяйте должное внимание совместному с учащимися деловому обсуждению вопросов, связанных с правилами поведения во время процедуры ЕГЭ.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учителям.docx</dc:title>
</cp:coreProperties>
</file>